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0"/>
        <w:jc w:val="center"/>
      </w:pPr>
      <w:r>
        <w:rPr>
          <w:b/>
          <w:bCs/>
          <w:color w:val="1F3864"/>
          <w:sz w:val="52"/>
          <w:szCs w:val="52"/>
        </w:rPr>
        <w:t xml:space="preserve">MIZ OKI 3.5</w:t>
      </w:r>
    </w:p>
    <w:p>
      <w:pPr>
        <w:spacing w:after="120"/>
        <w:jc w:val="center"/>
      </w:pPr>
      <w:r>
        <w:rPr>
          <w:b/>
          <w:bCs/>
          <w:color w:val="1F3864"/>
          <w:sz w:val="34"/>
          <w:szCs w:val="34"/>
        </w:rPr>
        <w:t xml:space="preserve">Blueprint v2 vs. Current Platform</w:t>
      </w:r>
    </w:p>
    <w:p>
      <w:pPr>
        <w:spacing w:after="360"/>
        <w:jc w:val="center"/>
      </w:pPr>
      <w:r>
        <w:rPr>
          <w:color w:val="595959"/>
          <w:sz w:val="26"/>
          <w:szCs w:val="26"/>
        </w:rPr>
        <w:t xml:space="preserve">Gap Analysis and Sequenced Improvement Plan</w:t>
      </w:r>
    </w:p>
    <w:p>
      <w:pPr>
        <w:spacing w:after="60"/>
        <w:jc w:val="center"/>
      </w:pPr>
      <w:r>
        <w:rPr>
          <w:color w:val="595959"/>
          <w:sz w:val="20"/>
          <w:szCs w:val="20"/>
        </w:rPr>
        <w:t xml:space="preserve">Reference: MIZ-GA-2026-001 · July 12, 2026</w:t>
      </w:r>
    </w:p>
    <w:p>
      <w:pPr>
        <w:spacing w:after="60"/>
        <w:jc w:val="center"/>
      </w:pPr>
      <w:r>
        <w:rPr>
          <w:color w:val="595959"/>
          <w:sz w:val="20"/>
          <w:szCs w:val="20"/>
        </w:rPr>
        <w:t xml:space="preserve">Prepared for: Boris Mizhen, Media Intelligence</w:t>
      </w:r>
    </w:p>
    <w:p>
      <w:pPr>
        <w:spacing w:after="0"/>
        <w:jc w:val="center"/>
      </w:pPr>
      <w:r>
        <w:rPr>
          <w:i/>
          <w:iCs/>
          <w:color w:val="595959"/>
          <w:sz w:val="18"/>
          <w:szCs w:val="18"/>
        </w:rPr>
        <w:t xml:space="preserve">Classification: Internal working document. Statements herein are assessments and design targets unless labeled otherwise.</w:t>
      </w:r>
    </w:p>
    <w:p>
      <w:r>
        <w:br w:type="page"/>
      </w:r>
    </w:p>
    <w:p>
      <w:pPr>
        <w:pStyle w:val="Heading1"/>
        <w:spacing w:after="160" w:before="320"/>
      </w:pPr>
      <w:r>
        <w:rPr>
          <w:color w:val="1F3864"/>
        </w:rPr>
        <w:t xml:space="preserve">1. Purpose and Sources</w:t>
      </w:r>
    </w:p>
    <w:p>
      <w:pPr>
        <w:spacing w:after="120" w:line="276"/>
      </w:pPr>
      <w:r>
        <w:rPr>
          <w:sz w:val="22"/>
          <w:szCs w:val="22"/>
        </w:rPr>
        <w:t xml:space="preserve">This document compares the corrected Three-Domain Decision Intelligence Blueprint (v2) against the platform as currently built and documented, and enumerates every identified improvement with severity, effort, and a recommended execution sequence.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Sources compared. </w:t>
      </w:r>
      <w:r>
        <w:rPr>
          <w:sz w:val="22"/>
          <w:szCs w:val="22"/>
        </w:rPr>
        <w:t xml:space="preserve">(1) MIZ OKI 3.5 Three-Domain Decision Intelligence Blueprint, corrected baseline (SRPVDAL, three Domain Intelligence Cells, shared horizontal services). (2) MIZ OKI platform expert skill v2.0 (March 15, 2026), which documents the production 32-cell SRDAL architecture on Google Cloud Run. (3) Recent MIZOKICloudRun build work, including the virtuoso_models routing package and initial domain-cell implementations.</w:t>
      </w:r>
    </w:p>
    <w:p>
      <w:pPr>
        <w:spacing w:after="120" w:line="276"/>
      </w:pPr>
      <w:r>
        <w:rPr>
          <w:i/>
          <w:iCs/>
          <w:color w:val="595959"/>
          <w:sz w:val="22"/>
          <w:szCs w:val="22"/>
        </w:rPr>
        <w:t xml:space="preserve">Note: where the skill documentation and the repository diverge, the repository is treated as source of truth and the divergence itself is logged as Gap 12.</w:t>
      </w:r>
    </w:p>
    <w:p>
      <w:pPr>
        <w:pStyle w:val="Heading1"/>
        <w:spacing w:after="160" w:before="320"/>
      </w:pPr>
      <w:r>
        <w:rPr>
          <w:color w:val="1F3864"/>
        </w:rPr>
        <w:t xml:space="preserve">2. Summary Verdict</w:t>
      </w:r>
    </w:p>
    <w:p>
      <w:pPr>
        <w:spacing w:after="120" w:line="276"/>
      </w:pPr>
      <w:r>
        <w:rPr>
          <w:sz w:val="22"/>
          <w:szCs w:val="22"/>
        </w:rPr>
        <w:t xml:space="preserve">The blueprint is achievable on the existing Cloud Run / Neo4j / BigQuery substrate — nothing in it requires replatforming. However, the current system is a single-domain media-attribution pipeline with an SRDAL loop, while the blueprint describes a governed three-domain decision platform with an SRPVDAL loop. The distance between the two is concentrated in five structural gaps (loop phases, domain cells, bitemporal envelope, decision-object contracts, and the Decision Control Plane) plus one security gap that should be treated as immediate.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Twelve gaps identified: </w:t>
      </w:r>
      <w:r>
        <w:rPr>
          <w:sz w:val="22"/>
          <w:szCs w:val="22"/>
        </w:rPr>
        <w:t xml:space="preserve">6 Critical, 5 High, 1 Medium. Recommended execution in four waves (A–D) over roughly two quarters, with Wave A executable within 30 days.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900"/>
        <w:gridCol w:w="1500"/>
        <w:gridCol w:w="1500"/>
        <w:gridCol w:w="1500"/>
      </w:tblGrid>
      <w:tr>
        <w:trPr>
          <w:tblHeader/>
        </w:trPr>
        <w:tc>
          <w:tcPr>
            <w:tcW w:type="dxa" w:w="600"/>
            <w:shd w:fill="1F3864" w:val="clea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4900"/>
            <w:shd w:fill="1F3864" w:val="clea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Gap</w:t>
            </w:r>
          </w:p>
        </w:tc>
        <w:tc>
          <w:tcPr>
            <w:tcW w:type="dxa" w:w="1500"/>
            <w:shd w:fill="1F3864" w:val="clea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Severity</w:t>
            </w:r>
          </w:p>
        </w:tc>
        <w:tc>
          <w:tcPr>
            <w:tcW w:type="dxa" w:w="1500"/>
            <w:shd w:fill="1F3864" w:val="clea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Effort</w:t>
            </w:r>
          </w:p>
        </w:tc>
        <w:tc>
          <w:tcPr>
            <w:tcW w:type="dxa" w:w="1500"/>
            <w:shd w:fill="1F3864" w:val="clea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Wave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Loop model is SRDAL; Plan and Validate phases have no owning services or artifacts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9E2A2B"/>
                <w:sz w:val="20"/>
                <w:szCs w:val="20"/>
              </w:rPr>
              <w:t xml:space="preserve">Critical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Platform is single-domain (media attribution); Finance and CRE cells absent or unproven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9E2A2B"/>
                <w:sz w:val="20"/>
                <w:szCs w:val="20"/>
              </w:rPr>
              <w:t xml:space="preserve">Critical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No bitemporal Canonical Event Envelope; point-in-time integrity impossible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9E2A2B"/>
                <w:sz w:val="20"/>
                <w:szCs w:val="20"/>
              </w:rPr>
              <w:t xml:space="preserve">Critical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Decision objects (ReasoningPath, ValidationPassport, DecisionProof, etc.) not formalized as schemas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9E2A2B"/>
                <w:sz w:val="20"/>
                <w:szCs w:val="20"/>
              </w:rPr>
              <w:t xml:space="preserve">Critical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Medium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No Decision Control Plane: policy engine, eligibility states, approval routing missing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9E2A2B"/>
                <w:sz w:val="20"/>
                <w:szCs w:val="20"/>
              </w:rPr>
              <w:t xml:space="preserve">Critical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B/D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Attribution hierarchy inverted; no MMM, experimentation, or margin/returns join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B45309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Performance claims stated as facts rather than labeled design targets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B45309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Low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Offline/enhanced conversion connectors on legacy Google Ads API, not Data Manager API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B45309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Medium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Cells deployed --allow-unauthenticated with placeholder token check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9E2A2B"/>
                <w:sz w:val="20"/>
                <w:szCs w:val="20"/>
              </w:rPr>
              <w:t xml:space="preserve">Critical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Medium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ACT services execute without rollback contracts or autonomy staging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B45309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Medium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No audit/replay service; no model registry or baseline-vs-challenger discipline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B45309"/>
                <w:sz w:val="20"/>
                <w:szCs w:val="20"/>
              </w:rPr>
              <w:t xml:space="preserve">High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Medium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6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Platform skill documentation (v2.0) stale versus repo and blueprint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/>
                <w:bCs/>
                <w:color w:val="1E6B3C"/>
                <w:sz w:val="20"/>
                <w:szCs w:val="20"/>
              </w:rPr>
              <w:t xml:space="preserve">Medium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Low</w:t>
            </w:r>
          </w:p>
        </w:tc>
        <w:tc>
          <w:tcPr>
            <w:tcW w:type="dxa" w:w="1500"/>
          </w:tcPr>
          <w:p>
            <w:pPr>
              <w:spacing w:after="4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</w:t>
            </w:r>
          </w:p>
        </w:tc>
      </w:tr>
    </w:tbl>
    <w:p>
      <w:r>
        <w:br w:type="page"/>
      </w:r>
    </w:p>
    <w:p>
      <w:pPr>
        <w:pStyle w:val="Heading1"/>
        <w:spacing w:after="160" w:before="320"/>
      </w:pPr>
      <w:r>
        <w:rPr>
          <w:color w:val="1F3864"/>
        </w:rPr>
        <w:t xml:space="preserve">3. Structural Gaps</w:t>
      </w:r>
    </w:p>
    <w:p>
      <w:pPr>
        <w:pStyle w:val="Heading2"/>
        <w:spacing w:after="120" w:before="240"/>
      </w:pPr>
      <w:r>
        <w:rPr>
          <w:color w:val="1F3864"/>
        </w:rPr>
        <w:t xml:space="preserve">Gap 1 — SRDAL vs. SRPVDAL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The 32 cells map exclusively to Sense (1–5), Reason (6–12), Decide (13–18), Act (19–22), and Learn (23–25). Validation exists only as the Cell 27 DoWhy refutation step — a single statistical check embedded in the Reason stage. No service owns Plan; no service orchestrates Validation; no Validation Passport artifact exists anywhere in the stack.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Plan and Validate are first-class phases. Every candidate decision must carry a domain-specific Validation Passport (point-in-time integrity, leakage controls, regime segmentation, costs, uncertainty, contradicting evidence, policy eligibility) before it is ranked by Decide.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Stand up service-validation-orchestrator as a new horizontal service. Define the Validation Passport schema first (see Gap 4), then refactor: Cell 27 becomes one validator among many registered with the orchestrator. Introduce an explicit Plan stage service that emits candidate action sets (scale / cut / shift / hold / experiment / request-evidence) rather than allowing Reason outputs to flow directly to Decide.</w:t>
      </w:r>
    </w:p>
    <w:p>
      <w:pPr>
        <w:pStyle w:val="Heading2"/>
        <w:spacing w:after="120" w:before="240"/>
      </w:pPr>
      <w:r>
        <w:rPr>
          <w:color w:val="1F3864"/>
        </w:rPr>
        <w:t xml:space="preserve">Gap 2 — Single Domain vs. Three Domain Intelligence Cells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All production cells serve media attribution. The Finance cell services named in the blueprint (service-financial-tckg, service-macro-regime, service-tgnn-forecast, service-financial-validation-lab) do not exist in the cell registry. The CRE capability exists as the Boss Agent integration with six registered tools and documented engine layers, but — as the blueprint itself concedes — every empirical claim (extraction accuracy, rent-roll reconciliation, NOI forecast accuracy, calibration, time savings) remains unproven.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Three peer Domain Intelligence Cells on one shared graph and one Decision Control Plane, each owning its domain SRPVDAL loop, with cross-domain decision flows (Media proposes → Finance validates cash/margin/payback → CRE validates asset constraints → DCP approves or vetoes).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Sequence the buildout: Media cell first (it is closest to complete and revenue-adjacent), Finance validation lab second, CRE benchmarks third. Do not market cross-domain flows until at least two cells can actually exchange DecisionProof objects. CRE work should begin with the Stage 2 benchmark battery (document extraction benchmark, historical deal reconstruction, shadow underwriting) before any new feature work.</w:t>
      </w:r>
    </w:p>
    <w:p>
      <w:pPr>
        <w:pStyle w:val="Heading2"/>
        <w:spacing w:after="120" w:before="240"/>
      </w:pPr>
      <w:r>
        <w:rPr>
          <w:color w:val="1F3864"/>
        </w:rPr>
        <w:t xml:space="preserve">Gap 3 — Bitemporal Canonical Event Envelope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KG nodes and BigQuery rows carry a single timestamp. There is no separation of occurred_at, observed_at, available_to_model_at, and ingested_at; no source_payload_hash; no verification_status or materiality fields; provenance is informal.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Every event enters through the Canonical Event Envelope with four time axes, payload hash, confidence, verification status, materiality, provenance, and audit ID. Point-in-time validation for the Finance cell — and honest backtesting anywhere — is impossible without this.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This is the deepest migration and should be treated as the foundation of Wave B. Implement service-canonical-ingestion as a wrapper in front of existing ingestion cells; new fields are additive to BigQuery schemas and Neo4j properties, so migration can be incremental (new events enveloped immediately; historical backfill where source systems permit, with available_to_model_at conservatively set to first-ingest time).</w:t>
      </w:r>
    </w:p>
    <w:p>
      <w:pPr>
        <w:pStyle w:val="Heading2"/>
        <w:spacing w:after="120" w:before="240"/>
      </w:pPr>
      <w:r>
        <w:rPr>
          <w:color w:val="1F3864"/>
        </w:rPr>
        <w:t xml:space="preserve">Gap 4 — Decision Objects Not Formalized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A Decision node with rationale and confidence properties is the only decision artifact. EvidenceBundle, ReasoningPath, ForecastOrScenario, ValidationPassport, DecisionProof, ActionAuthorization, OutcomeRecord, and LearningRecord have no schemas, no storage contract, and no versioning.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The eight shared decision objects are the platform contracts — the blueprint Stage 1 deliverable — and every cell communicates through them.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Define all eight as versioned JSON Schemas in a contracts/ package consumed by every cell (Pydantic models generated from the schemas). This is medium effort, blocks nearly everything else, and can be completed in a sprint. Each DecisionProof must record rejected alternatives, not only the chosen path.</w:t>
      </w:r>
    </w:p>
    <w:p>
      <w:pPr>
        <w:pStyle w:val="Heading2"/>
        <w:spacing w:after="120" w:before="240"/>
      </w:pPr>
      <w:r>
        <w:rPr>
          <w:color w:val="1F3864"/>
        </w:rPr>
        <w:t xml:space="preserve">Gap 5 — No Decision Control Plane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Cells 13–18 make decisions inline. There is no central policy engine, no eligibility state machine (eligible / approval-required / experiment-required / advisory-only / blocked), no approval routing service, and no audit/replay service. The DEL-scored gating shown in the ACT-991 demo scenario is narrative, not production code.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A single Decision Control Plane evaluates every candidate decision against policy, assigns an eligibility state, routes approvals, and is the only path to an Authorized Action.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Implement service-policy-engine (declarative policy-as-code; OPA or an equivalent embedded evaluator), service-decision-control-plane, and service-approval-routing as horizontal services in Wave B; wire ACT cells to refuse any action lacking a valid ActionAuthorization (Wave D enforcement). This converts the ACT-991 story from demo to product truth.</w:t>
      </w:r>
    </w:p>
    <w:p>
      <w:pPr>
        <w:pStyle w:val="Heading1"/>
        <w:spacing w:after="160" w:before="320"/>
      </w:pPr>
      <w:r>
        <w:rPr>
          <w:color w:val="1F3864"/>
        </w:rPr>
        <w:t xml:space="preserve">4. Correctness and Credibility Gaps</w:t>
      </w:r>
    </w:p>
    <w:p>
      <w:pPr>
        <w:pStyle w:val="Heading2"/>
        <w:spacing w:after="120" w:before="240"/>
      </w:pPr>
      <w:r>
        <w:rPr>
          <w:color w:val="1F3864"/>
        </w:rPr>
        <w:t xml:space="preserve">Gap 6 — Measurement Hierarchy and Missing Incrementality Stack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Current documentation presents meta-learners (X-Learner, DR-Learner) as the apex of an attribution hierarchy. There is no MMM service, no experimentation service, and no join to margin, returns, or inventory data — so incremental profit, the blueprint’s stated decision objective, cannot currently be computed.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Platform attribution is one claim among many; the hierarchy tops out at incremental profit after margin, returns, inventory, and cost. Meridian and Robyn serve as complementary MMM implementations; GeoLift or equivalent for controlled incrementality designs; none treated as an oracle.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Build service-media-mmm (run both Meridian and Robyn; report divergence rather than picking a winner silently) and service-media-experimentation (geo/holdout design, registration, and readout). Add the commerce joins (margin, returns, inventory) to the media TCKG. Re-document the hierarchy everywhere it appears.</w:t>
      </w:r>
    </w:p>
    <w:p>
      <w:pPr>
        <w:pStyle w:val="Heading2"/>
        <w:spacing w:after="120" w:before="240"/>
      </w:pPr>
      <w:r>
        <w:rPr>
          <w:color w:val="1F3864"/>
        </w:rPr>
        <w:t xml:space="preserve">Gap 7 — Claims Hygiene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Skill documentation and marketing surfaces state figures such as 40% CAC reduction, 35% ROAS increase, 67% ROI improvement, and 95%+ attribution accuracy as platform facts. Sub-100ms latency and 99.9% availability are asserted without benchmark citations.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Every performance claim must carry one of five labels: verified result, benchmark result, pilot result, design target, or illustrative scenario.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Low-effort, high-value: sweep the skill file, both CLAUDE.md files, mizoki3.com copy, and any investor/CI material, applying labels. Under current evidence, the business figures above are design targets and ACT-991 is an illustrative scenario. This directly protects the patent estate and competitive-intelligence positioning against overclaim risk.</w:t>
      </w:r>
    </w:p>
    <w:p>
      <w:pPr>
        <w:pStyle w:val="Heading2"/>
        <w:spacing w:after="120" w:before="240"/>
      </w:pPr>
      <w:r>
        <w:rPr>
          <w:color w:val="1F3864"/>
        </w:rPr>
        <w:t xml:space="preserve">Gap 8 — Google Ads Connector Modernization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Offline-conversion and enhanced-conversion uploads run through the legacy Google Ads API pathway.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New offline-conversion and enhanced-conversions-for-leads integrations are built on Google’s Data Manager API, with legacy behavior treated as compatibility-only where still permitted.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Migrate the connector in Wave A. This carries an external deadline risk (Google-controlled deprecation timelines) and is independent of all other work, so it should not wait on the structural waves.</w:t>
      </w:r>
    </w:p>
    <w:p>
      <w:pPr>
        <w:pStyle w:val="Heading1"/>
        <w:spacing w:after="160" w:before="320"/>
      </w:pPr>
      <w:r>
        <w:rPr>
          <w:color w:val="1F3864"/>
        </w:rPr>
        <w:t xml:space="preserve">5. Security and Governance Gaps</w:t>
      </w:r>
    </w:p>
    <w:p>
      <w:pPr>
        <w:pStyle w:val="Heading2"/>
        <w:spacing w:after="120" w:before="240"/>
      </w:pPr>
      <w:r>
        <w:rPr>
          <w:color w:val="1F3864"/>
        </w:rPr>
        <w:t xml:space="preserve">Gap 9 — Service Authentication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Cells deploy with --allow-unauthenticated, and the documented OIDC dependency compares the bearer token to a hardcoded placeholder string. Any party discovering a cell URL can invoke it.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A platform whose value proposition is governed, auditable, authorized decisions must itself be governed: authenticated service-to-service calls, gateway-only public ingress, verified identity on every request.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Immediate (Wave A): remove --allow-unauthenticated from every cell except the API gateway; enforce Cloud Run IAM invoker roles per calling service account; replace the placeholder check with genuine Google-signed ID-token verification (audience-checked). Estimated at days, not weeks, and it is the single most disproportionate risk-to-effort item on this list.</w:t>
      </w:r>
    </w:p>
    <w:p>
      <w:pPr>
        <w:pStyle w:val="Heading2"/>
        <w:spacing w:after="120" w:before="240"/>
      </w:pPr>
      <w:r>
        <w:rPr>
          <w:color w:val="1F3864"/>
        </w:rPr>
        <w:t xml:space="preserve">Gap 10 — Actuator Rollback and Autonomy Staging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ACT cells (19–22) execute actions directly once a decision is made. No rollback contract, no bounded-action envelope, no staged-autonomy gate.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High-stakes ACT begins in observe/recommend mode; bounded autonomy is earned only after evaluation, approval, rollback, and monitoring are proven. Only approved, bounded, reversible actions flow through governed actuators.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Define a rollback contract in the ActionAuthorization schema (every actuator must register an inverse or compensating action, or declare itself irreversible and therefore approval-gated). Flip all actuators to recommend-only by default (Stage 3), and re-enable execution per actuator only after its rollback path is demonstrated (Stage 4).</w:t>
      </w:r>
    </w:p>
    <w:p>
      <w:pPr>
        <w:pStyle w:val="Heading2"/>
        <w:spacing w:after="120" w:before="240"/>
      </w:pPr>
      <w:r>
        <w:rPr>
          <w:color w:val="1F3864"/>
        </w:rPr>
        <w:t xml:space="preserve">Gap 11 — Audit/Replay and Model Registry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Structured logging exists; deterministic replay does not. Models are deployed without a registry, without recorded baselines, and without challenger comparisons.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service-audit-replay reconstructs any decision from its evidence forward; service-model-registry tracks every model version with its evaluation record; advanced models are challengers measured against transparent baselines.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Once the event envelope (Gap 3) and decision objects (Gap 4) exist, replay is largely a query capability over immutable records — build it then. Stand up a lightweight model registry (Vertex AI Model Registry is already in the stack and sufficient) with a rule: no model serves a decision path without a registered baseline comparison.</w:t>
      </w:r>
    </w:p>
    <w:p>
      <w:pPr>
        <w:pStyle w:val="Heading1"/>
        <w:spacing w:after="160" w:before="320"/>
      </w:pPr>
      <w:r>
        <w:rPr>
          <w:color w:val="1F3864"/>
        </w:rPr>
        <w:t xml:space="preserve">6. Consistency Gaps</w:t>
      </w:r>
    </w:p>
    <w:p>
      <w:pPr>
        <w:pStyle w:val="Heading2"/>
        <w:spacing w:after="120" w:before="240"/>
      </w:pPr>
      <w:r>
        <w:rPr>
          <w:color w:val="1F3864"/>
        </w:rPr>
        <w:t xml:space="preserve">Gap 12 — Stale Platform Documentation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Current state. </w:t>
      </w:r>
      <w:r>
        <w:rPr>
          <w:sz w:val="22"/>
          <w:szCs w:val="22"/>
        </w:rPr>
        <w:t xml:space="preserve">The platform expert skill (v2.0, March 2026) still describes SRDAL, a media-only mission, and pre-virtuoso_models architecture. It lags both the repository and the blueprint, and repeats the unlabeled claims from Gap 7.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Blueprint requirement. </w:t>
      </w:r>
      <w:r>
        <w:rPr>
          <w:sz w:val="22"/>
          <w:szCs w:val="22"/>
        </w:rPr>
        <w:t xml:space="preserve">Documentation, CLAUDE.md canonical rules, and marketing surfaces must express one architecture: SRPVDAL, three Domain Intelligence Cells as example deployments (not a ceiling), the nervous-system metaphor, and labeled claims.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Remediation. </w:t>
      </w:r>
      <w:r>
        <w:rPr>
          <w:sz w:val="22"/>
          <w:szCs w:val="22"/>
        </w:rPr>
        <w:t xml:space="preserve">Ship the v3.0 skill update pack (delivered alongside this document) as a drop-in, and align both CLAUDE.md files in the same pass.</w:t>
      </w:r>
    </w:p>
    <w:p>
      <w:r>
        <w:br w:type="page"/>
      </w:r>
    </w:p>
    <w:p>
      <w:pPr>
        <w:pStyle w:val="Heading1"/>
        <w:spacing w:after="160" w:before="320"/>
      </w:pPr>
      <w:r>
        <w:rPr>
          <w:color w:val="1F3864"/>
        </w:rPr>
        <w:t xml:space="preserve">7. Sequenced Remediation Plan</w:t>
      </w:r>
    </w:p>
    <w:p>
      <w:pPr>
        <w:pStyle w:val="Heading2"/>
        <w:spacing w:after="120" w:before="240"/>
      </w:pPr>
      <w:r>
        <w:rPr>
          <w:color w:val="1F3864"/>
        </w:rPr>
        <w:t xml:space="preserve">Wave A — Quick wins (within 30 days)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Auth lockdown (Gap 9). </w:t>
      </w:r>
      <w:r>
        <w:rPr>
          <w:sz w:val="22"/>
          <w:szCs w:val="22"/>
        </w:rPr>
        <w:t xml:space="preserve">Remove unauthenticated ingress, enforce IAM invoker roles, real ID-token verification.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Claims relabeling (Gap 7). </w:t>
      </w:r>
      <w:r>
        <w:rPr>
          <w:sz w:val="22"/>
          <w:szCs w:val="22"/>
        </w:rPr>
        <w:t xml:space="preserve">Five-label sweep across skill, CLAUDE.md, website, and CI materials.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Data Manager API migration (Gap 8). </w:t>
      </w:r>
      <w:r>
        <w:rPr>
          <w:sz w:val="22"/>
          <w:szCs w:val="22"/>
        </w:rPr>
        <w:t xml:space="preserve">New conversion uploads on Data Manager API; legacy path flagged compatibility-only.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Documentation refresh (Gap 12). </w:t>
      </w:r>
      <w:r>
        <w:rPr>
          <w:sz w:val="22"/>
          <w:szCs w:val="22"/>
        </w:rPr>
        <w:t xml:space="preserve">Skill v3.0 drop-in and CLAUDE.md alignment.</w:t>
      </w:r>
    </w:p>
    <w:p>
      <w:pPr>
        <w:pStyle w:val="Heading2"/>
        <w:spacing w:after="120" w:before="240"/>
      </w:pPr>
      <w:r>
        <w:rPr>
          <w:color w:val="1F3864"/>
        </w:rPr>
        <w:t xml:space="preserve">Wave B — Foundation (quarter)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Decision object contracts (Gap 4). </w:t>
      </w:r>
      <w:r>
        <w:rPr>
          <w:sz w:val="22"/>
          <w:szCs w:val="22"/>
        </w:rPr>
        <w:t xml:space="preserve">Eight versioned schemas in a shared contracts package.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Canonical Event Envelope (Gap 3). </w:t>
      </w:r>
      <w:r>
        <w:rPr>
          <w:sz w:val="22"/>
          <w:szCs w:val="22"/>
        </w:rPr>
        <w:t xml:space="preserve">Bitemporal ingestion wrapper; additive schema migration; conservative backfill.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Decision Control Plane core (Gap 5). </w:t>
      </w:r>
      <w:r>
        <w:rPr>
          <w:sz w:val="22"/>
          <w:szCs w:val="22"/>
        </w:rPr>
        <w:t xml:space="preserve">Policy engine, eligibility state machine, approval routing.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Validation orchestrator (Gap 1). </w:t>
      </w:r>
      <w:r>
        <w:rPr>
          <w:sz w:val="22"/>
          <w:szCs w:val="22"/>
        </w:rPr>
        <w:t xml:space="preserve">Passport schema live; Cell 27 refactored to a registered validator; Plan stage introduced.</w:t>
      </w:r>
    </w:p>
    <w:p>
      <w:pPr>
        <w:pStyle w:val="Heading2"/>
        <w:spacing w:after="120" w:before="240"/>
      </w:pPr>
      <w:r>
        <w:rPr>
          <w:color w:val="1F3864"/>
        </w:rPr>
        <w:t xml:space="preserve">Wave C — Domain buildout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Media incrementality stack (Gap 6). </w:t>
      </w:r>
      <w:r>
        <w:rPr>
          <w:sz w:val="22"/>
          <w:szCs w:val="22"/>
        </w:rPr>
        <w:t xml:space="preserve">MMM (Meridian + Robyn), experimentation service, margin/returns/inventory joins; measurement hierarchy re-documented.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Finance cell (Gap 2). </w:t>
      </w:r>
      <w:r>
        <w:rPr>
          <w:sz w:val="22"/>
          <w:szCs w:val="22"/>
        </w:rPr>
        <w:t xml:space="preserve">Financial TCKG, macro-regime service, validation lab with point-in-time, purged/embargoed CV, PBO, and Deflated Sharpe controls; advisory-only output.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CRE benchmarks (Gap 2). </w:t>
      </w:r>
      <w:r>
        <w:rPr>
          <w:sz w:val="22"/>
          <w:szCs w:val="22"/>
        </w:rPr>
        <w:t xml:space="preserve">Stage 2 battery: extraction benchmark, historical deal reconstruction, shadow underwriting against known outcomes.</w:t>
      </w:r>
    </w:p>
    <w:p>
      <w:pPr>
        <w:pStyle w:val="Heading2"/>
        <w:spacing w:after="120" w:before="240"/>
      </w:pPr>
      <w:r>
        <w:rPr>
          <w:color w:val="1F3864"/>
        </w:rPr>
        <w:t xml:space="preserve">Wave D — Governance hardening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Actuator rollback contracts and staged autonomy (Gap 10). </w:t>
      </w:r>
      <w:r>
        <w:rPr>
          <w:sz w:val="22"/>
          <w:szCs w:val="22"/>
        </w:rPr>
        <w:t xml:space="preserve">Recommend-only default; per-actuator re-enablement after proven rollback.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Audit/replay and model registry (Gap 11). </w:t>
      </w:r>
      <w:r>
        <w:rPr>
          <w:sz w:val="22"/>
          <w:szCs w:val="22"/>
        </w:rPr>
        <w:t xml:space="preserve">Deterministic decision replay; no unregistered model on a decision path.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  <w:sz w:val="22"/>
          <w:szCs w:val="22"/>
        </w:rPr>
        <w:t xml:space="preserve">DCP enforcement (Gap 5). </w:t>
      </w:r>
      <w:r>
        <w:rPr>
          <w:sz w:val="22"/>
          <w:szCs w:val="22"/>
        </w:rPr>
        <w:t xml:space="preserve">ACT cells hard-refuse actions without a valid ActionAuthorization.</w:t>
      </w:r>
    </w:p>
    <w:p>
      <w:pPr>
        <w:pStyle w:val="Heading1"/>
        <w:spacing w:after="160" w:before="320"/>
      </w:pPr>
      <w:r>
        <w:rPr>
          <w:color w:val="1F3864"/>
        </w:rPr>
        <w:t xml:space="preserve">8. Success Criteria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sz w:val="22"/>
          <w:szCs w:val="22"/>
        </w:rPr>
        <w:t xml:space="preserve">Every production decision emits a DecisionProof with an attached ValidationPassport, including rejected alternatives.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sz w:val="22"/>
          <w:szCs w:val="22"/>
        </w:rPr>
        <w:t xml:space="preserve">No cell reachable without authenticated identity; every action traceable to an ActionAuthorization.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sz w:val="22"/>
          <w:szCs w:val="22"/>
        </w:rPr>
        <w:t xml:space="preserve">Any decision replayable end-to-end from its evidence within the audit service.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sz w:val="22"/>
          <w:szCs w:val="22"/>
        </w:rPr>
        <w:t xml:space="preserve">All public and internal performance claims carry one of the five evidence labels.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sz w:val="22"/>
          <w:szCs w:val="22"/>
        </w:rPr>
        <w:t xml:space="preserve">Cross-domain flow demonstrated live (not simulated): Media proposal validated by Finance, gated by the Decision Control Plane.</w:t>
      </w:r>
    </w:p>
    <w:p>
      <w:pPr>
        <w:spacing w:after="120" w:line="276"/>
      </w:pPr>
      <w:r>
        <w:rPr>
          <w:i/>
          <w:iCs/>
          <w:color w:val="595959"/>
          <w:sz w:val="22"/>
          <w:szCs w:val="22"/>
        </w:rPr>
        <w:t xml:space="preserve">End of document. Prepared as an internal assessment; all remediation estimates are design targets.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  <w:lvl w:ilvl="1" w15:tentative="1">
      <w:start w:val="1"/>
      <w:numFmt w:val="bullet"/>
      <w:lvlText w:val="◦"/>
      <w:lvlJc w:val="left"/>
      <w:pPr>
        <w:ind w:left="9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2026-07-12T19:41:22.180Z</dcterms:created>
  <dcterms:modified xsi:type="dcterms:W3CDTF">2026-07-12T19:41:22.197Z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